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2970" w:leader="none"/>
        </w:tabs>
        <w:rPr>
          <w:rFonts w:ascii="Times New Roman" w:hAnsi="Times New Roman" w:cs="Times New Roman"/>
          <w:b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</w:rPr>
        <w:t xml:space="preserve">ТЕХНИЧЕСКОЕ ЗАДАНИЕ </w: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jc w:val="both"/>
        <w:tabs>
          <w:tab w:val="left" w:pos="297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устройство ограждения в жилом комплексе «Соседи» дворовая территория многоквартирных домов 1, 2, 3.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tabs>
          <w:tab w:val="left" w:pos="297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объекта: Калужская обл., Боровский р-н,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село совхоз Боровский. территория МКД ЖК «Соседи»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tabs>
          <w:tab w:val="left" w:pos="2970" w:leader="none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</w:r>
      <w:r>
        <w:rPr>
          <w:rFonts w:ascii="Times New Roman" w:hAnsi="Times New Roman" w:cs="Times New Roman"/>
          <w:b/>
          <w:sz w:val="28"/>
          <w:u w:val="single"/>
        </w:rPr>
      </w:r>
      <w:r>
        <w:rPr>
          <w:rFonts w:ascii="Times New Roman" w:hAnsi="Times New Roman" w:cs="Times New Roman"/>
          <w:b/>
          <w:sz w:val="28"/>
          <w:u w:val="single"/>
        </w:rPr>
      </w:r>
    </w:p>
    <w:tbl>
      <w:tblPr>
        <w:tblpPr w:horzAnchor="text" w:tblpXSpec="right" w:vertAnchor="text" w:tblpY="1" w:leftFromText="180" w:topFromText="0" w:rightFromText="180" w:bottomFromText="0"/>
        <w:tblW w:w="15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0"/>
        <w:gridCol w:w="2098"/>
        <w:gridCol w:w="12935"/>
      </w:tblGrid>
      <w:tr>
        <w:trPr>
          <w:trHeight w:val="592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основных данных и требований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</w:tr>
      <w:tr>
        <w:trPr>
          <w:trHeight w:val="592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объекта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Металлическое ограждение дворовой территории многоквартирных жилых домов №1, №2 и №3 ЖК «Соседи»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</w:tr>
      <w:tr>
        <w:trPr>
          <w:trHeight w:val="592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Место строительства 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обл. Боровский р-н, сельское поселение село «Совхоз Боровский», территория жилых домов №1, №2 и №3 ЖК «Соседи»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92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04.2024г.  -  05.2024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г.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592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-застройщик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«Новострой Инвест»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Производства Работ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отсутствует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Графическая часть ТЗ «Схема ограждения. Эскиз звена ограждения.»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17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организация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Специализированный застройщик «Новый город»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17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строительства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Новое строительство.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17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условия строительства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Просадочность грунтов, уровень грунтовых вод, согласно отчета инженерно-геологический изысканий.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517"/>
        </w:trPr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условия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-подземные части забора следует изолировать от воздействия воды и влаги;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-типовые чертежи КМД (в т.ч. ворот и калиток согласовать с Заказчиком;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-соединение элементов осуществить на сварке под углом 45;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-стойки сверху закрыть заглушками из мет.листа 70*70*2мм;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-окраска всех деталей в 2 слоя в цвет </w:t>
            </w:r>
            <w:r>
              <w:rPr>
                <w:rFonts w:ascii="Times New Roman" w:hAnsi="Times New Roman" w:cs="Times New Roman"/>
                <w:lang w:val="en-US"/>
              </w:rPr>
              <w:t xml:space="preserve">RAL</w:t>
            </w:r>
            <w:r>
              <w:rPr>
                <w:rFonts w:ascii="Times New Roman" w:hAnsi="Times New Roman" w:cs="Times New Roman"/>
              </w:rPr>
              <w:t xml:space="preserve">7016;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обеспечить сохранность инженерно-транспортной инфраструктуры попадающей в зону производства работ;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-ключи от ворот и калиток передать Заказчику по акту;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-металл должен быть предварительно грунтован и окрашен в цвет </w:t>
            </w:r>
            <w:r>
              <w:rPr>
                <w:rFonts w:ascii="Times New Roman" w:hAnsi="Times New Roman" w:cs="Times New Roman"/>
                <w:lang w:val="en-US"/>
              </w:rPr>
              <w:t xml:space="preserve">RAL</w:t>
            </w: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-калитки должны быть с врезным механическим замком с личинкой и ручками, доводчиком;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-ворота перед монтажом должны быть полностью готовыми: сварные швы зачищены, рама ворот обезжирена, грунтована, окрашена.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Особые условия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W w:w="12935" w:type="dxa"/>
            <w:textDirection w:val="lrTb"/>
            <w:noWrap w:val="false"/>
          </w:tcPr>
          <w:tbl>
            <w:tblPr>
              <w:tblStyle w:val="889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0206"/>
            </w:tblGrid>
            <w:tr>
              <w:trPr/>
              <w:tc>
                <w:tcPr>
                  <w:tcW w:w="1134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1</w:t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10206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-     до начала производства работ необходимо определить точное месторасположение инженерных сетей, попадающих в границы производства работ и пересечений с ними. 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ind w:right="-108"/>
              <w:spacing w:after="0" w:line="240" w:lineRule="auto"/>
              <w:tabs>
                <w:tab w:val="left" w:pos="2970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rPr/>
        <w:tc>
          <w:tcPr>
            <w:tcW w:w="560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Технические параметры проектируемой линии освещения,  устройства недостающего освещения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935" w:type="dxa"/>
            <w:textDirection w:val="lrTb"/>
            <w:noWrap w:val="false"/>
          </w:tcPr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</w:r>
          </w:p>
          <w:tbl>
            <w:tblPr>
              <w:tblStyle w:val="889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2446"/>
              <w:gridCol w:w="9402"/>
            </w:tblGrid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1</w:t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gridSpan w:val="2"/>
                  <w:tcW w:w="11848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b/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Металлическое ограждение дворовой территории многоквартирных жилых домов №1, №2, №3 ЖК «Соседи»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1.1</w:t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2446" w:type="dxa"/>
                  <w:textDirection w:val="lrTb"/>
                  <w:noWrap w:val="false"/>
                </w:tcPr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Размер ограждения 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9402" w:type="dxa"/>
                  <w:textDirection w:val="lrTb"/>
                  <w:noWrap w:val="false"/>
                </w:tcPr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Длина - 56 м. п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Высота -1,6м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2446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Тип ограждения</w:t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9402" w:type="dxa"/>
                  <w:textDirection w:val="lrTb"/>
                  <w:noWrap w:val="false"/>
                </w:tcPr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Тип секционный - из профильной трубы. 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Фиксация к опорам сварочным способом, с формированием соответствующей высоты.  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34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Типовое звено ограждения (см. графическую часть ТЗ)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Некратные звенья выполняются аналогично типовому. Размеры некратных звеньев уточняется по месту фактическими замерами.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2446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Стойки (опоры) </w:t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9402" w:type="dxa"/>
                  <w:textDirection w:val="lrTb"/>
                  <w:noWrap w:val="false"/>
                </w:tcPr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Шаг установки опор -2,5м (точные привязки уточнить по месту).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Стойки из трубы 60*60*3</w:t>
                  </w:r>
                  <w:r>
                    <w:rPr>
                      <w:sz w:val="22"/>
                      <w:szCs w:val="22"/>
                    </w:rPr>
                    <w:t xml:space="preserve">, сверху закрыть заглушками из металлиста 70*70*2мм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</w:tr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2446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Въездные ворота, калитки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9402" w:type="dxa"/>
                  <w:textDirection w:val="lrTb"/>
                  <w:noWrap w:val="false"/>
                </w:tcPr>
                <w:tbl>
                  <w:tblPr>
                    <w:tblStyle w:val="88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9"/>
                    <w:gridCol w:w="2195"/>
                    <w:gridCol w:w="2538"/>
                    <w:gridCol w:w="2264"/>
                  </w:tblGrid>
                  <w:tr>
                    <w:trPr/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Калитки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размер 1,1 *1,6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294" w:type="dxa"/>
                        <w:vMerge w:val="restart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Въездные ворота  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vMerge w:val="restart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распашные-1шт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Размер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3,5(в чистоте)*1,6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294" w:type="dxa"/>
                        <w:vMerge w:val="continue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vMerge w:val="continue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откатные    -1шт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размер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3,7(в чистоте)*1,6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Механизм 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открытия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ворот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-отпирания калитки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распашные-2шт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откатные 1шт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3шт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Автоматика+радиоключ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куд (домофон)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294" w:type="dxa"/>
                        <w:textDirection w:val="lrTb"/>
                        <w:noWrap w:val="false"/>
                      </w:tcPr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Ворота работают автоматически от АПС (предусмотреть открытие вручную), для УК радиоключ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ind w:right="34"/>
                          <w:jc w:val="both"/>
                          <w:tabs>
                            <w:tab w:val="left" w:pos="2970" w:leader="none"/>
                          </w:tabs>
                          <w:rPr>
                            <w:sz w:val="22"/>
                            <w:szCs w:val="22"/>
                          </w:rPr>
                          <w:framePr w:hSpace="180" w:wrap="around" w:vAnchor="text" w:hAnchor="text" w:xAlign="right" w:y="1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электромагнитный замок (накладной), считыватель с наружной стороны, кнопка со стороны внутри дворовой территории</w:t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pStyle w:val="909"/>
                    <w:ind w:left="720" w:right="34" w:firstLine="0"/>
                    <w:jc w:val="both"/>
                    <w:spacing w:after="0" w:line="240" w:lineRule="auto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2446" w:type="dxa"/>
                  <w:textDirection w:val="lrTb"/>
                  <w:noWrap w:val="false"/>
                </w:tcPr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Границы установки ограждения: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9402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framePr w:hSpace="180" w:wrap="around" w:vAnchor="text" w:hAnchor="text" w:xAlign="right" w:y="1"/>
                  </w:pPr>
                  <w:r>
                    <w:t xml:space="preserve">-    От дома 1 до дома 2 с устройством ворот распашных и калитки в месте пересечения дороги и тротуара,. </w:t>
                  </w:r>
                  <w:r/>
                </w:p>
                <w:p>
                  <w:pPr>
                    <w:ind w:right="-108"/>
                    <w:tabs>
                      <w:tab w:val="left" w:pos="2970" w:leader="none"/>
                    </w:tabs>
                    <w:framePr w:hSpace="180" w:wrap="around" w:vAnchor="text" w:hAnchor="text" w:xAlign="right" w:y="1"/>
                  </w:pPr>
                  <w:r>
                    <w:t xml:space="preserve">-    От дома </w:t>
                  </w:r>
                  <w:r>
                    <w:t xml:space="preserve">2</w:t>
                  </w:r>
                  <w:r>
                    <w:t xml:space="preserve"> до ТП с устройством ворот откатных и калитки в месте пересечения тротуара (примыкания).</w:t>
                  </w:r>
                  <w:r/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framePr w:hSpace="180" w:wrap="around" w:vAnchor="text" w:hAnchor="text" w:xAlign="right" w:y="1"/>
                  </w:pPr>
                  <w:r>
                    <w:t xml:space="preserve">-    От дома </w:t>
                  </w:r>
                  <w:r>
                    <w:t xml:space="preserve">1</w:t>
                  </w:r>
                  <w:r>
                    <w:t xml:space="preserve"> к дому 3 до стойки калитки, включительно с установкой калитки.</w:t>
                  </w:r>
                  <w:r/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framePr w:hSpace="180" w:wrap="around" w:vAnchor="text" w:hAnchor="text" w:xAlign="right" w:y="1"/>
                  </w:pPr>
                  <w:r>
                    <w:t xml:space="preserve">(см. графическую часть ТЗ)</w:t>
                  </w:r>
                  <w:r/>
                </w:p>
                <w:p>
                  <w:pPr>
                    <w:pStyle w:val="920"/>
                    <w:rPr>
                      <w:rFonts w:ascii="Times New Roman" w:hAnsi="Times New Roman"/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61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  <w:r>
                    <w:rPr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2446" w:type="dxa"/>
                  <w:textDirection w:val="lrTb"/>
                  <w:noWrap w:val="false"/>
                </w:tcPr>
                <w:p>
                  <w:pPr>
                    <w:ind w:right="-108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Покрытие ограждения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9402" w:type="dxa"/>
                  <w:textDirection w:val="lrTb"/>
                  <w:noWrap w:val="false"/>
                </w:tcPr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sz w:val="22"/>
                      <w:szCs w:val="22"/>
                    </w:rPr>
                    <w:t xml:space="preserve"> окрашивание загрунтованной поверхности всех деталей в 2 слоя в цвет 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RAL</w:t>
                  </w:r>
                  <w:r>
                    <w:rPr>
                      <w:sz w:val="22"/>
                      <w:szCs w:val="22"/>
                    </w:rPr>
                    <w:t xml:space="preserve">7016.</w: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right="34"/>
                    <w:jc w:val="both"/>
                    <w:tabs>
                      <w:tab w:val="left" w:pos="2970" w:leader="none"/>
                    </w:tabs>
                    <w:rPr>
                      <w:i/>
                      <w:sz w:val="22"/>
                      <w:szCs w:val="22"/>
                    </w:rPr>
                    <w:framePr w:hSpace="180" w:wrap="around" w:vAnchor="text" w:hAnchor="text" w:xAlign="right" w:y="1"/>
                  </w:pPr>
                  <w:r>
                    <w:rPr>
                      <w:i/>
                      <w:sz w:val="22"/>
                      <w:szCs w:val="22"/>
                    </w:rPr>
                  </w:r>
                  <w:r>
                    <w:rPr>
                      <w:i/>
                      <w:sz w:val="22"/>
                      <w:szCs w:val="22"/>
                    </w:rPr>
                  </w:r>
                  <w:r>
                    <w:rPr>
                      <w:i/>
                      <w:sz w:val="22"/>
                      <w:szCs w:val="22"/>
                    </w:rPr>
                  </w:r>
                </w:p>
              </w:tc>
            </w:tr>
          </w:tbl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-108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r/>
      <w:r/>
    </w:p>
    <w:tbl>
      <w:tblPr>
        <w:tblpPr w:horzAnchor="text" w:tblpXSpec="right" w:vertAnchor="text" w:tblpY="1" w:leftFromText="180" w:topFromText="0" w:rightFromText="180" w:bottomFromText="0"/>
        <w:tblW w:w="15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26"/>
        <w:gridCol w:w="13036"/>
      </w:tblGrid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Объем выполняемых работ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3036" w:type="dxa"/>
            <w:textDirection w:val="lrTb"/>
            <w:noWrap w:val="false"/>
          </w:tcPr>
          <w:p>
            <w:pPr>
              <w:pStyle w:val="9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Устройство ограждения: </w:t>
            </w:r>
            <w:r>
              <w:rPr>
                <w:rFonts w:ascii="Times New Roman" w:hAnsi="Times New Roman"/>
              </w:rPr>
              <w:t xml:space="preserve"> ВЕДОМОСТЬ ОБЪЕМОВ РАБОТ ПО И МАТЕРИАЛОВ ПО УСТРОЙСТВУ ОГРАЖДЕНИЯ</w: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920"/>
            </w:pPr>
            <w:r/>
            <w:r/>
          </w:p>
          <w:tbl>
            <w:tblPr>
              <w:tblStyle w:val="88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418"/>
              <w:gridCol w:w="1474"/>
              <w:gridCol w:w="5103"/>
            </w:tblGrid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Наименование работ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Ед.изм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Примечание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b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  <w:t xml:space="preserve">Изготовление забора </w:t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</w:p>
                <w:p>
                  <w:pPr>
                    <w:pStyle w:val="920"/>
                    <w:ind w:left="7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1.1 </w:t>
                  </w:r>
                  <w:r>
                    <w:rPr>
                      <w:rFonts w:ascii="Times New Roman" w:hAnsi="Times New Roman"/>
                      <w:b/>
                    </w:rPr>
                    <w:t xml:space="preserve">Сварочные работы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Изготовление ограждения: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Звено ограждения:</w:t>
                  </w:r>
                  <w:r>
                    <w:rPr>
                      <w:rFonts w:ascii="Times New Roman" w:hAnsi="Times New Roman"/>
                      <w:u w:val="single"/>
                    </w:rPr>
                  </w:r>
                  <w:r>
                    <w:rPr>
                      <w:rFonts w:ascii="Times New Roman" w:hAnsi="Times New Roman"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2,5м -14шт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1,5м -3шт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1,4м -1шт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1,2м -2шт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1,1м -1шт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highlight w:val="non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0,8м -1шт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highlight w:val="none"/>
                      <w:u w:val="single"/>
                    </w:rPr>
                  </w:r>
                  <w:r>
                    <w:rPr>
                      <w:rFonts w:ascii="Times New Roman" w:hAnsi="Times New Roman"/>
                      <w:highlight w:val="none"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highlight w:val="none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highlight w:val="none"/>
                      <w:u w:val="single"/>
                    </w:rPr>
                  </w:r>
                  <w:r>
                    <w:rPr>
                      <w:rFonts w:ascii="Times New Roman" w:hAnsi="Times New Roman"/>
                      <w:highlight w:val="none"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highlight w:val="none"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Ворота калитки:</w:t>
                  </w:r>
                  <w:r>
                    <w:rPr>
                      <w:rFonts w:ascii="Times New Roman" w:hAnsi="Times New Roman"/>
                      <w:u w:val="single"/>
                    </w:rPr>
                  </w:r>
                  <w:r>
                    <w:rPr>
                      <w:rFonts w:ascii="Times New Roman" w:hAnsi="Times New Roman"/>
                      <w:highlight w:val="none"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1,1м -3шт (калитка с учетом 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1,75м -2шт (ворота распашные)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3,70м -1шт (ворота откатные)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м2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85,148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2,50м – 3,85м2   </w:t>
                  </w:r>
                  <w:r>
                    <w:rPr>
                      <w:rFonts w:ascii="Times New Roman" w:hAnsi="Times New Roman"/>
                      <w:i/>
                    </w:rPr>
                    <w:t xml:space="preserve">(2,5*1,54м) /1шт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1,50м – 2,31м2   </w:t>
                  </w:r>
                  <w:r>
                    <w:rPr>
                      <w:rFonts w:ascii="Times New Roman" w:hAnsi="Times New Roman"/>
                      <w:i/>
                    </w:rPr>
                    <w:t xml:space="preserve">(1,5*1,54м) /1шт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1,40м – 2,156м2 </w:t>
                  </w:r>
                  <w:r>
                    <w:rPr>
                      <w:rFonts w:ascii="Times New Roman" w:hAnsi="Times New Roman"/>
                      <w:i/>
                    </w:rPr>
                    <w:t xml:space="preserve">(1,4*1,54м) /1шт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1,20м – 1,848м2 </w:t>
                  </w:r>
                  <w:r>
                    <w:rPr>
                      <w:rFonts w:ascii="Times New Roman" w:hAnsi="Times New Roman"/>
                      <w:i/>
                    </w:rPr>
                    <w:t xml:space="preserve">(1,2*1,54м) /1шт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1,10м – 1,694м2 </w:t>
                  </w:r>
                  <w:r>
                    <w:rPr>
                      <w:rFonts w:ascii="Times New Roman" w:hAnsi="Times New Roman"/>
                      <w:i/>
                    </w:rPr>
                    <w:t xml:space="preserve">(1,1*1,54м) /1шт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0,80м – 1,232м2 </w:t>
                  </w:r>
                  <w:r>
                    <w:rPr>
                      <w:rFonts w:ascii="Times New Roman" w:hAnsi="Times New Roman"/>
                      <w:i/>
                    </w:rPr>
                    <w:t xml:space="preserve">(0,8*1,54м) /1шт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color w:val="ff0000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color w:val="ff0000"/>
                    </w:rPr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Размеры некратных звеньев уточняется по месту фактическими замерами.</w:t>
                  </w:r>
                  <w:r>
                    <w:rPr>
                      <w:rFonts w:ascii="Times New Roman" w:hAnsi="Times New Roman"/>
                      <w:color w:val="ff0000"/>
                    </w:rPr>
                  </w:r>
                  <w:r>
                    <w:rPr>
                      <w:rFonts w:ascii="Times New Roman" w:hAnsi="Times New Roman"/>
                      <w:color w:val="ff0000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Cs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  <w:highlight w:val="none"/>
                    </w:rPr>
                  </w:r>
                  <w:r>
                    <w:rPr>
                      <w:rFonts w:ascii="Times New Roman" w:hAnsi="Times New Roman"/>
                      <w:i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Cs/>
                      <w:i/>
                      <w:highlight w:val="non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  <w:highlight w:val="none"/>
                    </w:rPr>
                  </w:r>
                  <w:r>
                    <w:rPr>
                      <w:rFonts w:ascii="Times New Roman" w:hAnsi="Times New Roman"/>
                      <w:i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Cs/>
                      <w:i/>
                      <w:highlight w:val="non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1,10м – 1,694м2    </w:t>
                  </w:r>
                  <w:r>
                    <w:rPr>
                      <w:rFonts w:ascii="Times New Roman" w:hAnsi="Times New Roman"/>
                      <w:i/>
                    </w:rPr>
                    <w:t xml:space="preserve">(1,1*1,54м) /1шт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bCs/>
                      <w:i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1,75м – 2,695м2 </w:t>
                  </w:r>
                  <w:r>
                    <w:rPr>
                      <w:rFonts w:ascii="Times New Roman" w:hAnsi="Times New Roman"/>
                      <w:i/>
                    </w:rPr>
                    <w:t xml:space="preserve">(1,75*1,54) /1шт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3,70м – 5,698м2</w:t>
                  </w:r>
                  <w:r>
                    <w:rPr>
                      <w:rFonts w:ascii="Times New Roman" w:hAnsi="Times New Roman"/>
                      <w:i/>
                    </w:rPr>
                    <w:t xml:space="preserve"> (3,70*1,54) /1шт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                1.2  </w:t>
                  </w:r>
                  <w:r>
                    <w:rPr>
                      <w:rFonts w:ascii="Times New Roman" w:hAnsi="Times New Roman"/>
                      <w:b/>
                    </w:rPr>
                    <w:t xml:space="preserve">Малярные работы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Грунтование поверхности всех деталей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м2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72</w:t>
                  </w:r>
                  <w:r>
                    <w:rPr>
                      <w:rFonts w:ascii="Times New Roman" w:hAnsi="Times New Roman"/>
                    </w:rPr>
                    <w:t xml:space="preserve">,</w:t>
                  </w:r>
                  <w:r>
                    <w:rPr>
                      <w:rFonts w:ascii="Times New Roman" w:hAnsi="Times New Roman"/>
                    </w:rPr>
                    <w:t xml:space="preserve">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72</w:t>
                  </w:r>
                  <w:r>
                    <w:rPr>
                      <w:rFonts w:ascii="Times New Roman" w:hAnsi="Times New Roman"/>
                    </w:rPr>
                    <w:t xml:space="preserve">,2</w:t>
                  </w:r>
                  <w:r>
                    <w:rPr>
                      <w:rFonts w:ascii="Times New Roman" w:hAnsi="Times New Roman"/>
                    </w:rPr>
                    <w:t xml:space="preserve"> м2 /1 слой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Окрашивание поверхности всех деталей в 2 слоя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(цвет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RAL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7016).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м2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72</w:t>
                  </w:r>
                  <w:r>
                    <w:rPr>
                      <w:rFonts w:ascii="Times New Roman" w:hAnsi="Times New Roman"/>
                    </w:rPr>
                    <w:t xml:space="preserve">,2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72</w:t>
                  </w:r>
                  <w:r>
                    <w:rPr>
                      <w:rFonts w:ascii="Times New Roman" w:hAnsi="Times New Roman"/>
                    </w:rPr>
                    <w:t xml:space="preserve">,2</w:t>
                  </w:r>
                  <w:r>
                    <w:rPr>
                      <w:rFonts w:ascii="Times New Roman" w:hAnsi="Times New Roman"/>
                    </w:rPr>
                    <w:t xml:space="preserve"> м2 /1 слой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b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  <w:t xml:space="preserve">Строительные работы</w:t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Развозка конструкций и материалов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 стойки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 звено ограждения (вкл калитки/ворота)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highlight w:val="non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highlight w:val="non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30</w:t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28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Устройство опор: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-бурение по разметке скважин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D</w:t>
                  </w:r>
                  <w:r>
                    <w:rPr>
                      <w:rFonts w:ascii="Times New Roman" w:hAnsi="Times New Roman"/>
                    </w:rPr>
                    <w:t xml:space="preserve">=200мм на глубину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1,65м</w:t>
                  </w:r>
                  <w:r>
                    <w:rPr>
                      <w:rFonts w:ascii="Times New Roman" w:hAnsi="Times New Roman"/>
                    </w:rPr>
                    <w:t xml:space="preserve"> для стоек под бетонирование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-бурение по разметке скважин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D</w:t>
                  </w:r>
                  <w:r>
                    <w:rPr>
                      <w:rFonts w:ascii="Times New Roman" w:hAnsi="Times New Roman"/>
                    </w:rPr>
                    <w:t xml:space="preserve">=200мм на глубину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1,15м</w:t>
                  </w:r>
                  <w:r>
                    <w:rPr>
                      <w:rFonts w:ascii="Times New Roman" w:hAnsi="Times New Roman"/>
                    </w:rPr>
                    <w:t xml:space="preserve"> для стоек под бутование щебнем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 разработка траншеи под устройство фундамента для откатных ворот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7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 стойка включена в устройство фундамента для откатных ворот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Фундамент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(г*д*в =1,5*2,0*0,4м)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Устройство основания под стойки щебнем толщиной 150мм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-щебень фракция 20-40мм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29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1 стойка включена в устройство фундамента для откатных ворот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0,13659м3  /29 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(0,00471м3 /1 шт)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Бутование стойки забора щебнем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</w:t>
                  </w:r>
                  <w:r>
                    <w:rPr>
                      <w:rFonts w:ascii="Times New Roman" w:hAnsi="Times New Roman"/>
                      <w:i/>
                    </w:rPr>
                    <w:t xml:space="preserve">щебень фракция 20-40мм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ind w:right="-108"/>
                    <w:tabs>
                      <w:tab w:val="left" w:pos="2970" w:leader="none"/>
                    </w:tabs>
                    <w:framePr w:hSpace="180" w:wrap="around" w:vAnchor="text" w:hAnchor="text" w:xAlign="right" w:y="1"/>
                  </w:pPr>
                  <w:r/>
                  <w:r/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0,6908м3 /22шт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(0,0314м3 /1шт)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ind w:right="-108"/>
                    <w:tabs>
                      <w:tab w:val="left" w:pos="2970" w:leader="none"/>
                    </w:tabs>
                    <w:rPr>
                      <w:color w:val="ff0000"/>
                    </w:rPr>
                    <w:framePr w:hSpace="180" w:wrap="around" w:vAnchor="text" w:hAnchor="text" w:xAlign="right" w:y="1"/>
                  </w:pPr>
                  <w:r>
                    <w:rPr>
                      <w:color w:val="ff0000"/>
                    </w:rPr>
                    <w:t xml:space="preserve">подземные части забора следует изолировать от воздействия воды и влаги;</w:t>
                  </w:r>
                  <w:r>
                    <w:rPr>
                      <w:color w:val="ff0000"/>
                    </w:rPr>
                  </w:r>
                  <w:r>
                    <w:rPr>
                      <w:color w:val="ff0000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Бетонирование стоек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  <w:t xml:space="preserve">калитки</w:t>
                  </w:r>
                  <w:r>
                    <w:rPr>
                      <w:rFonts w:ascii="Times New Roman" w:hAnsi="Times New Roman"/>
                    </w:rPr>
                    <w:t xml:space="preserve"> на глубину 1,5м: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</w:t>
                  </w:r>
                  <w:r>
                    <w:rPr>
                      <w:rFonts w:ascii="Times New Roman" w:hAnsi="Times New Roman"/>
                      <w:i/>
                    </w:rPr>
                    <w:t xml:space="preserve">бетон класс В15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4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0,1884</w:t>
                  </w:r>
                  <w:r>
                    <w:rPr>
                      <w:rFonts w:ascii="Times New Roman" w:hAnsi="Times New Roman"/>
                      <w:i/>
                    </w:rPr>
                    <w:t xml:space="preserve">м3 </w:t>
                  </w:r>
                  <w:r>
                    <w:rPr>
                      <w:rFonts w:ascii="Times New Roman" w:hAnsi="Times New Roman"/>
                    </w:rPr>
                    <w:t xml:space="preserve">/4 шт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(0,0471м3/1шт)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2 стойки включены в устройство ворот, т.к стойка общая)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Бетонирование стоек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  <w:t xml:space="preserve">распашных</w:t>
                  </w:r>
                  <w:r>
                    <w:rPr>
                      <w:rFonts w:ascii="Times New Roman" w:hAnsi="Times New Roman"/>
                    </w:rPr>
                    <w:t xml:space="preserve"> ворот на глубину 1,5м с армированием: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-бетон класс В15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-арматура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0,0942м3/2шт (</w:t>
                  </w:r>
                  <w:r>
                    <w:rPr>
                      <w:rFonts w:ascii="Times New Roman" w:hAnsi="Times New Roman"/>
                      <w:i/>
                    </w:rPr>
                    <w:t xml:space="preserve">0,0471м3/1стойка)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1,5072м /2шт (</w:t>
                  </w:r>
                  <w:r>
                    <w:rPr>
                      <w:rFonts w:ascii="Times New Roman" w:hAnsi="Times New Roman"/>
                      <w:i/>
                    </w:rPr>
                    <w:t xml:space="preserve">0,7536м/1 шт. – Арматура гладкая Ø6)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11,2м /2шт     (</w:t>
                  </w:r>
                  <w:r>
                    <w:rPr>
                      <w:rFonts w:ascii="Times New Roman" w:hAnsi="Times New Roman"/>
                      <w:i/>
                    </w:rPr>
                    <w:t xml:space="preserve">5,6м /1 стойка - Арматура Ø10)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1125855" cy="1115975"/>
                            <wp:effectExtent l="0" t="0" r="0" b="8255"/>
                            <wp:docPr id="1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9"/>
                                    <a:srcRect l="0" t="2084" r="0" b="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6988" cy="11270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88.65pt;height:87.87pt;mso-wrap-distance-left:0.00pt;mso-wrap-distance-top:0.00pt;mso-wrap-distance-right:0.00pt;mso-wrap-distance-bottom:0.00pt;" stroked="f">
                            <v:path textboxrect="0,0,0,0"/>
                            <v:imagedata r:id="rId9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</w:tc>
            </w:tr>
            <w:tr>
              <w:trPr>
                <w:trHeight w:val="1258"/>
              </w:trPr>
              <w:tc>
                <w:tcPr>
                  <w:tcW w:w="4536" w:type="dxa"/>
                  <w:vMerge w:val="restart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Бетонирование стоек и фундамента </w:t>
                  </w:r>
                  <w:r>
                    <w:rPr>
                      <w:rFonts w:ascii="Times New Roman" w:hAnsi="Times New Roman"/>
                      <w:b/>
                    </w:rPr>
                    <w:t xml:space="preserve">откатных</w:t>
                  </w:r>
                  <w:r>
                    <w:rPr>
                      <w:rFonts w:ascii="Times New Roman" w:hAnsi="Times New Roman"/>
                    </w:rPr>
                    <w:t xml:space="preserve"> ворот с армированием на глубину 1,5м: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Стойки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</w:t>
                  </w:r>
                  <w:r>
                    <w:rPr>
                      <w:rFonts w:ascii="Times New Roman" w:hAnsi="Times New Roman"/>
                      <w:i/>
                    </w:rPr>
                    <w:t xml:space="preserve">бетон класс В15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-арматура 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Фундамент (г*д*в =1,5*2,0*0,4м):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-опалубка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-армирование+ закладные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-бетон класс В15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0,0471м3/1стойка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0,7536м/1 стойка (Арматура Ø6)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  <w:t xml:space="preserve">5,6м      /1 стойка (Арматура Ø10)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</w:tc>
            </w:tr>
            <w:tr>
              <w:trPr>
                <w:trHeight w:val="1257"/>
              </w:trPr>
              <w:tc>
                <w:tcPr>
                  <w:tcW w:w="4536" w:type="dxa"/>
                  <w:vMerge w:val="continue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7,2м </w:t>
                  </w:r>
                  <w:r>
                    <w:rPr>
                      <w:rFonts w:ascii="Times New Roman" w:hAnsi="Times New Roman"/>
                      <w:i/>
                    </w:rPr>
                    <w:t xml:space="preserve">фанера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65,1 /</w:t>
                  </w:r>
                  <w:r>
                    <w:rPr>
                      <w:rFonts w:ascii="Times New Roman" w:hAnsi="Times New Roman"/>
                      <w:i/>
                    </w:rPr>
                    <w:t xml:space="preserve"> Арматура Ø12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       / швеллер 160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sz w:val="16"/>
                      <w:szCs w:val="16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5кг    /Вяз.проволока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ГОСТ-3282-74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1549730" cy="700248"/>
                            <wp:effectExtent l="0" t="0" r="0" b="5080"/>
                            <wp:docPr id="2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5699" cy="721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1" o:spid="_x0000_s1" type="#_x0000_t75" style="width:122.03pt;height:55.14pt;mso-wrap-distance-left:0.00pt;mso-wrap-distance-top:0.00pt;mso-wrap-distance-right:0.00pt;mso-wrap-distance-bottom:0.00pt;" stroked="false">
                            <v:path textboxrect="0,0,0,0"/>
                            <v:imagedata r:id="rId10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i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i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1,2м3</w: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-Монтаж ограждений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-Монтаж калиток с устройством запирания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-Монтаж ворот с устройством </w:t>
                  </w:r>
                  <w:r>
                    <w:rPr>
                      <w:rFonts w:ascii="Times New Roman" w:hAnsi="Times New Roman"/>
                    </w:rPr>
                    <w:t xml:space="preserve">механизма открытия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b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3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  <w:b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b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  <w:t xml:space="preserve">Электромонтажные работы</w:t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1. Подвод питания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прокладка кабельной линии от ВРУ МКД 2   через наружную стену дома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*к опоре ворот распашных с калиткой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* к опоре ворот откатных с калиткой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по подвалу дома и подземно в траншее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2. 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прокладка кабельной линии от ВРУ МКД 1 через наружную стену дома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*к опоре ворот распашных с калиткой, по подвалу дома и подземно в траншее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-устройство автоматики АПС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-подключение СКУД на калитках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  <w:b/>
                      <w:i/>
                      <w:u w:val="singl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Выполняется силами друг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их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подрядн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ых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организаци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й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  <w:highlight w:val="none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Задействовать ООО «Макснет Системы»</w:t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  <w:highlight w:val="none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highlight w:val="none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Подключение к существующему кабелю.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шт.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6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калитки -3, ворота-</w:t>
                  </w:r>
                  <w:r>
                    <w:rPr>
                      <w:rFonts w:ascii="Times New Roman" w:hAnsi="Times New Roman"/>
                    </w:rPr>
                    <w:t xml:space="preserve">3 (распашные ворота 2 точки подключения)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Проведение ПНР ворота/калитки.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Индивидуальные и комплексные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Задействовать другие подрядные организации выполняющие электромонтажные работы по подводке кабеля к воротам/ калиткам, выполняющие устройство автоматики, подключение СКУД.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b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  <w:b/>
                    </w:rPr>
                    <w:t xml:space="preserve">Уборка</w:t>
                  </w:r>
                  <w:r>
                    <w:rPr>
                      <w:rFonts w:ascii="Times New Roman" w:hAnsi="Times New Roman"/>
                      <w:b/>
                    </w:rPr>
                  </w: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536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Вывоз мусора и уборка трассы за собой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18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474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920"/>
                    <w:rPr>
                      <w:rFonts w:ascii="Times New Roman" w:hAnsi="Times New Roman"/>
                    </w:rPr>
                    <w:framePr w:hSpace="180" w:wrap="around" w:vAnchor="text" w:hAnchor="text" w:xAlign="right" w:y="1"/>
                  </w:pPr>
                  <w:r>
                    <w:rPr>
                      <w:rFonts w:ascii="Times New Roman" w:hAnsi="Times New Roman"/>
                    </w:rPr>
                    <w:t xml:space="preserve">участки задействованные при производстве работ и прилегающая зона (трасса, и др. участки задействованные Подрядной организацией при устройстве ограждения)</w: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gridSpan w:val="4"/>
                  <w:tcW w:w="12531" w:type="dxa"/>
                  <w:textDirection w:val="lrTb"/>
                  <w:noWrap w:val="false"/>
                </w:tcPr>
                <w:p>
                  <w:pPr>
                    <w:ind w:right="178"/>
                    <w:tabs>
                      <w:tab w:val="left" w:pos="409" w:leader="none"/>
                    </w:tabs>
                    <w:framePr w:hSpace="180" w:wrap="around" w:vAnchor="text" w:hAnchor="text" w:xAlign="right" w:y="1"/>
                  </w:pPr>
                  <w:r/>
                  <w:r/>
                </w:p>
              </w:tc>
            </w:tr>
          </w:tbl>
          <w:p>
            <w:pPr>
              <w:pStyle w:val="920"/>
            </w:pPr>
            <w:r/>
            <w:r/>
          </w:p>
          <w:p>
            <w:pPr>
              <w:ind w:right="178"/>
              <w:tabs>
                <w:tab w:val="left" w:pos="409" w:leader="none"/>
              </w:tabs>
            </w:pPr>
            <w:r/>
            <w:r/>
          </w:p>
        </w:tc>
      </w:tr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Инженерно-техническое и материальное обеспечение строительной площадки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3036" w:type="dxa"/>
            <w:textDirection w:val="lrTb"/>
            <w:noWrap w:val="false"/>
          </w:tcPr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Обеспечивается Заказчиком: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7"/>
              </w:numPr>
              <w:ind w:right="34"/>
              <w:jc w:val="both"/>
              <w:spacing w:after="0" w:line="240" w:lineRule="auto"/>
              <w:tabs>
                <w:tab w:val="left" w:pos="74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Временное энергоснабжение – точки подключения.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7"/>
              </w:numPr>
              <w:ind w:right="34"/>
              <w:jc w:val="both"/>
              <w:spacing w:after="0" w:line="240" w:lineRule="auto"/>
              <w:tabs>
                <w:tab w:val="left" w:pos="74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периметра строительной площадки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требования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3036" w:type="dxa"/>
            <w:textDirection w:val="lrTb"/>
            <w:noWrap w:val="false"/>
          </w:tcPr>
          <w:p>
            <w:pPr>
              <w:ind w:right="178"/>
              <w:spacing w:after="0" w:line="240" w:lineRule="auto"/>
              <w:tabs>
                <w:tab w:val="left" w:pos="40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Авансирование не более 30% от общей стоимости.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178"/>
              <w:spacing w:after="0" w:line="240" w:lineRule="auto"/>
              <w:tabs>
                <w:tab w:val="left" w:pos="40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-На спец. одежде обязательно нанести наименование организации.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178"/>
              <w:spacing w:after="0" w:line="240" w:lineRule="auto"/>
              <w:tabs>
                <w:tab w:val="left" w:pos="409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-Гарантийное удержание 5% от общей стоимости на период гарантийной эксплуатации.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right="34"/>
              <w:jc w:val="both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требования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3036" w:type="dxa"/>
            <w:textDirection w:val="lrTb"/>
            <w:noWrap w:val="false"/>
          </w:tcPr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Подрядчик должен выполнить: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1.Работы выполнить в соответствии с требованиями нормативных документов Российской Федерации в области строительства (а также, требованиям СниП) и других нормативных документов.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2.Технолог</w:t>
            </w:r>
            <w:r>
              <w:rPr>
                <w:rFonts w:ascii="Times New Roman" w:hAnsi="Times New Roman" w:cs="Times New Roman"/>
              </w:rPr>
              <w:t xml:space="preserve">ию и методы производства работ обеспечить в полном соответствии с составленной сметной документацией, техническим заданием, стандартами, строительными нормами и правилами, и иными действующими на территории Российской Федерации нормативно-правовыми актами;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Вывоз строительного мусора произвести в соответствии с требованиями СанПин и других нормативных документов. Погрузочные разгрузочные работы произвести своими силами.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Земляные работы производить в с</w:t>
            </w:r>
            <w:r>
              <w:rPr>
                <w:rFonts w:ascii="Times New Roman" w:hAnsi="Times New Roman" w:cs="Times New Roman"/>
              </w:rPr>
              <w:t xml:space="preserve">оответствии с правилами производства работ перед началом земляных работ вызвать на место представителей Генподрядной организации и Заказчика для уточнения охранной зоны инженерно-транспортной инфраструктуры объекта строительства в зоне производства работ.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Организовать работу дорожного и уличного движения при проведении работ в соответствии с требованиями СП 48.13330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 проведении работ после получения ЗОС)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Разработать ТК на выполнение данных видов работ в соответствии с СП 48.13330.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До начала производства работ согласовать с представителем Заказчика режим проведения совмещенных работ, этапы сдачи работ.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К производству работ приступать по окончании необходимых подготовительных мероприятий.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right="178"/>
              <w:tabs>
                <w:tab w:val="left" w:pos="4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Обеспечить фронт работ квалифицированными трудовыми ресурсами для сдачи объемов работ в срок.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26" w:type="dxa"/>
            <w:textDirection w:val="lrTb"/>
            <w:noWrap w:val="false"/>
          </w:tcPr>
          <w:p>
            <w:pPr>
              <w:ind w:right="-125"/>
              <w:tabs>
                <w:tab w:val="left" w:pos="297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производству работ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3036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начала работ подрядчик обязан: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месте ознакомиться с условиями производства работ на строительной площадке;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натурные обмеры;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Ознакомиться и принять графическую документацию;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и согласовать технологическую карту;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Назначить приказом ответственного представителя и производителя работ;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фронт работ по акту приема-передачи;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Согласовать стоимость работ и порядок расчетов, условия финансирования;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Согласовать поэтапный график выполнения работ и утвердить схему организации движения и ограждения мест производства работ.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3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процессе производства работ подрядчик обязан: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средства измерений, оборудование, прошедшие проверку и аттестацию в установленном порядке; имеющие соответствующие сертификаты, технические паспорта, результаты испытаний, удостоверяющие их качество и пригодность к эксплуатации;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4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квалифицированный персонал и технически исправную спецтехнику;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Обеспечить организацию дорожно-строительных работ в соответствии с требованиями СП 48.13330. Выполнить комплекс работ по ограждению мест производства работ и организации дорожного движения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 проведении работ после получения ЗОС)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 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контроль и надзор по соблюдению: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 охраны окружающей природной среды, экологической безопасности и санитарных правил;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требований правил и норм охраны труда, техники безопасности при организации проведения работ (производственных процессов);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закона и других норм и правил в области пожарной безопасности, ОТ и ЭБ;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Назначить приказом всех ответственных лиц при проведении работ и т.д.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соблюдение требований нормативно-технической документации, обязательной при выполнении работ, ППР, строительных норм и правил, ГОСТ и технических регламентов обеспечивающих безопасность конструкций и качество выполняемых работ;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работы по подготовке территории в зоне работ;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поставку материалов и строительных конструкций, соответствующих требованиям нормативно-технической документации; Обеспечить контроль качества используемых материалов и конструкций. Предоставить необходимую со</w:t>
            </w:r>
            <w:r>
              <w:rPr>
                <w:rFonts w:ascii="Times New Roman" w:hAnsi="Times New Roman" w:cs="Times New Roman"/>
              </w:rPr>
              <w:t xml:space="preserve">проводительную документацию ко всем применяемым материалам и изделиям - паспорт качества продукции, сертификат соответствия, сертификат или декларация о пожарной безопасности, накладные и прочие документы обязательные к каждому виду строительной продукции;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входной контроль качества применяемых материалов, операционный контроль качества выполняемых работ, приемочный контроль конструкций в соответствии с СП 48.13330, СП 78.13330 и соответствующих стандартов;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отчетную документацию;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защиту инженерных коммуникаций, попадающих в зону строительства;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Вести исполнительную документацию в соответствии с приказом Минстроя РФ от 16.05.2023г №344/ПР;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чем за 48 часов извещать Заказчика о готовности к сдаче отдельных ответственных узлов, ответственных конструкций и скрытых работ;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суток извещать Заказчика при грубых нарушениях технологии выполнения работ, влекущих за собой потерю прочности, устойчивости или другие критические дефекты;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Содержать объект и прилегающие к нему участки, свободными от ремонтных и строительных отходов, накапливаемых в результате выполнения работ и обеспечить их своевременный вывоз, а также уборку территории объекта, на которой выполняются работы.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5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присутствие ответственного компетентного представителя на объектных еженедельных совещаниях. При изменении времени проведения совещаний, информация сообщается дополнительно.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3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Подрядчик гарантирует: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numPr>
                <w:ilvl w:val="0"/>
                <w:numId w:val="6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всех работ в полном объеме и в сроки, определенные условиями договора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6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всех работ в соответствии с ТЗ и действующими нормами; Подрядчи</w:t>
            </w:r>
            <w:r>
              <w:rPr>
                <w:rFonts w:ascii="Times New Roman" w:hAnsi="Times New Roman" w:cs="Times New Roman"/>
              </w:rPr>
              <w:t xml:space="preserve">к несет ответственность перед Заказчиком за допущенные отступления от требований, предусмотренных в технической документации и в строительных нормах и правилах, а также за недостижение указанных в технической документации показателей объекта строительства.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6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объектом строительства указанных в технической документации показателей и возможность эксплуата</w:t>
            </w:r>
            <w:r>
              <w:rPr>
                <w:rFonts w:ascii="Times New Roman" w:hAnsi="Times New Roman" w:cs="Times New Roman"/>
              </w:rPr>
              <w:t xml:space="preserve">ции объекта в соответствии с договором строительного подряда на протяжении гарантийного срока. 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6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устранение недостатков и дефектов, выявленных при приеме работ и в период гарантийной эксплуатации объекта;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numPr>
                <w:ilvl w:val="0"/>
                <w:numId w:val="6"/>
              </w:numPr>
              <w:ind w:left="175" w:right="34" w:firstLine="0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Передачу исполнительной и технической документации в полном объеме не менее, чем в 3х экз.  - формат </w:t>
            </w:r>
            <w:r>
              <w:rPr>
                <w:rFonts w:ascii="Times New Roman" w:hAnsi="Times New Roman" w:cs="Times New Roman"/>
                <w:lang w:val="en-US"/>
              </w:rPr>
              <w:t xml:space="preserve">PDF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DWG</w:t>
            </w: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175" w:right="34"/>
              <w:jc w:val="both"/>
              <w:spacing w:after="0" w:line="240" w:lineRule="auto"/>
              <w:tabs>
                <w:tab w:val="left" w:pos="175" w:leader="none"/>
                <w:tab w:val="left" w:pos="600" w:leader="none"/>
                <w:tab w:val="left" w:pos="8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r>
        <w:rPr>
          <w:sz w:val="28"/>
          <w:szCs w:val="28"/>
        </w:rPr>
        <w:br w:type="textWrapping" w:clear="all"/>
      </w:r>
      <w:r/>
    </w:p>
    <w:sectPr>
      <w:footnotePr/>
      <w:endnotePr/>
      <w:type w:val="nextPage"/>
      <w:pgSz w:w="16838" w:h="11906" w:orient="landscape"/>
      <w:pgMar w:top="1701" w:right="851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  <w:color w:val="auto"/>
        <w:sz w:val="24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1287" w:leader="none"/>
        </w:tabs>
      </w:pPr>
      <w:rPr>
        <w:rFonts w:hint="default" w:ascii="Symbol" w:hAnsi="Symbol"/>
      </w:rPr>
    </w:lvl>
    <w:lvl w:ilvl="1">
      <w:start w:val="1"/>
      <w:numFmt w:val="bullet"/>
      <w:pStyle w:val="911"/>
      <w:isLgl w:val="false"/>
      <w:suff w:val="tab"/>
      <w:lvlText w:val="o"/>
      <w:lvlJc w:val="left"/>
      <w:pPr>
        <w:ind w:left="2007" w:hanging="360"/>
        <w:tabs>
          <w:tab w:val="num" w:pos="2007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  <w:tabs>
          <w:tab w:val="num" w:pos="2727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  <w:tabs>
          <w:tab w:val="num" w:pos="3447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  <w:tabs>
          <w:tab w:val="num" w:pos="4167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  <w:tabs>
          <w:tab w:val="num" w:pos="4887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  <w:tabs>
          <w:tab w:val="num" w:pos="5607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  <w:tabs>
          <w:tab w:val="num" w:pos="6327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  <w:tabs>
          <w:tab w:val="num" w:pos="7047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pStyle w:val="683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1">
      <w:start w:val="1"/>
      <w:numFmt w:val="decimal"/>
      <w:pStyle w:val="684"/>
      <w:isLgl w:val="false"/>
      <w:suff w:val="tab"/>
      <w:lvlText w:val="%1.%2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pStyle w:val="871"/>
      <w:isLgl w:val="false"/>
      <w:suff w:val="tab"/>
      <w:lvlText w:val="%1.%2.%3"/>
      <w:lvlJc w:val="left"/>
      <w:pPr>
        <w:ind w:left="1314" w:hanging="1134"/>
        <w:tabs>
          <w:tab w:val="num" w:pos="1314" w:leader="none"/>
        </w:tabs>
      </w:pPr>
      <w:rPr>
        <w:rFonts w:hint="default"/>
        <w:b w:val="0"/>
        <w:i w:val="0"/>
      </w:rPr>
    </w:lvl>
    <w:lvl w:ilvl="3">
      <w:start w:val="1"/>
      <w:numFmt w:val="decimal"/>
      <w:pStyle w:val="872"/>
      <w:isLgl w:val="false"/>
      <w:suff w:val="tab"/>
      <w:lvlText w:val="%1.%2.%3.%4"/>
      <w:lvlJc w:val="left"/>
      <w:pPr>
        <w:ind w:left="2214" w:hanging="1134"/>
        <w:tabs>
          <w:tab w:val="num" w:pos="2214" w:leader="none"/>
        </w:tabs>
      </w:pPr>
      <w:rPr>
        <w:rFonts w:hint="default"/>
        <w:b w:val="0"/>
        <w:i w:val="0"/>
      </w:rPr>
    </w:lvl>
    <w:lvl w:ilvl="4">
      <w:start w:val="1"/>
      <w:numFmt w:val="lowerLetter"/>
      <w:isLgl w:val="false"/>
      <w:suff w:val="tab"/>
      <w:lvlText w:val="%5)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9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4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54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6120" w:leader="none"/>
        </w:tabs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 w:default="1">
    <w:name w:val="Normal"/>
    <w:qFormat/>
  </w:style>
  <w:style w:type="paragraph" w:styleId="683">
    <w:name w:val="Heading 1"/>
    <w:basedOn w:val="682"/>
    <w:next w:val="682"/>
    <w:link w:val="866"/>
    <w:qFormat/>
    <w:pPr>
      <w:numPr>
        <w:ilvl w:val="0"/>
        <w:numId w:val="1"/>
      </w:numPr>
      <w:keepLines/>
      <w:keepNext/>
      <w:pageBreakBefore/>
      <w:spacing w:before="480" w:after="240" w:line="240" w:lineRule="auto"/>
      <w:outlineLvl w:val="0"/>
    </w:pPr>
    <w:rPr>
      <w:rFonts w:ascii="Arial" w:hAnsi="Arial" w:eastAsia="Times New Roman" w:cs="Times New Roman"/>
      <w:b/>
      <w:sz w:val="40"/>
      <w:szCs w:val="20"/>
      <w:lang w:eastAsia="ru-RU"/>
    </w:rPr>
  </w:style>
  <w:style w:type="paragraph" w:styleId="684">
    <w:name w:val="Heading 2"/>
    <w:basedOn w:val="682"/>
    <w:next w:val="682"/>
    <w:link w:val="867"/>
    <w:qFormat/>
    <w:pPr>
      <w:numPr>
        <w:ilvl w:val="1"/>
        <w:numId w:val="1"/>
      </w:numPr>
      <w:keepNext/>
      <w:spacing w:before="360" w:after="120" w:line="240" w:lineRule="auto"/>
      <w:outlineLvl w:val="1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85">
    <w:name w:val="Heading 3"/>
    <w:basedOn w:val="682"/>
    <w:next w:val="682"/>
    <w:link w:val="868"/>
    <w:qFormat/>
    <w:pPr>
      <w:ind w:firstLine="567"/>
      <w:jc w:val="both"/>
      <w:keepNext/>
      <w:spacing w:before="240" w:after="60" w:line="36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686">
    <w:name w:val="Heading 4"/>
    <w:basedOn w:val="682"/>
    <w:next w:val="682"/>
    <w:link w:val="869"/>
    <w:qFormat/>
    <w:pPr>
      <w:ind w:firstLine="567"/>
      <w:jc w:val="both"/>
      <w:keepNext/>
      <w:spacing w:before="240" w:after="60" w:line="36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87">
    <w:name w:val="Heading 5"/>
    <w:basedOn w:val="682"/>
    <w:next w:val="682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682"/>
    <w:next w:val="682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9">
    <w:name w:val="Heading 7"/>
    <w:basedOn w:val="682"/>
    <w:next w:val="682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0">
    <w:name w:val="Heading 8"/>
    <w:basedOn w:val="682"/>
    <w:next w:val="682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1">
    <w:name w:val="Heading 9"/>
    <w:basedOn w:val="682"/>
    <w:next w:val="68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5 Char"/>
    <w:basedOn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Heading 6 Char"/>
    <w:basedOn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Heading 7 Char"/>
    <w:basedOn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Heading 8 Char"/>
    <w:basedOn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Heading 9 Char"/>
    <w:basedOn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700" w:customStyle="1">
    <w:name w:val="Subtitle Char"/>
    <w:basedOn w:val="692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character" w:styleId="703" w:customStyle="1">
    <w:name w:val="Footnote Text Char"/>
    <w:uiPriority w:val="99"/>
    <w:rPr>
      <w:sz w:val="18"/>
    </w:rPr>
  </w:style>
  <w:style w:type="character" w:styleId="704" w:customStyle="1">
    <w:name w:val="Endnote Text Char"/>
    <w:uiPriority w:val="99"/>
    <w:rPr>
      <w:sz w:val="20"/>
    </w:rPr>
  </w:style>
  <w:style w:type="character" w:styleId="705" w:customStyle="1">
    <w:name w:val="Heading 1 Char"/>
    <w:basedOn w:val="692"/>
    <w:uiPriority w:val="9"/>
    <w:rPr>
      <w:rFonts w:ascii="Arial" w:hAnsi="Arial" w:eastAsia="Arial" w:cs="Arial"/>
      <w:sz w:val="40"/>
      <w:szCs w:val="40"/>
    </w:rPr>
  </w:style>
  <w:style w:type="character" w:styleId="706" w:customStyle="1">
    <w:name w:val="Heading 2 Char"/>
    <w:basedOn w:val="692"/>
    <w:uiPriority w:val="9"/>
    <w:rPr>
      <w:rFonts w:ascii="Arial" w:hAnsi="Arial" w:eastAsia="Arial" w:cs="Arial"/>
      <w:sz w:val="34"/>
    </w:rPr>
  </w:style>
  <w:style w:type="character" w:styleId="707" w:customStyle="1">
    <w:name w:val="Heading 3 Char"/>
    <w:basedOn w:val="692"/>
    <w:uiPriority w:val="9"/>
    <w:rPr>
      <w:rFonts w:ascii="Arial" w:hAnsi="Arial" w:eastAsia="Arial" w:cs="Arial"/>
      <w:sz w:val="30"/>
      <w:szCs w:val="30"/>
    </w:rPr>
  </w:style>
  <w:style w:type="character" w:styleId="708" w:customStyle="1">
    <w:name w:val="Heading 4 Char"/>
    <w:basedOn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Заголовок 5 Знак"/>
    <w:basedOn w:val="69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Заголовок 6 Знак"/>
    <w:basedOn w:val="692"/>
    <w:link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Заголовок 7 Знак"/>
    <w:basedOn w:val="69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9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Заголовок 9 Знак"/>
    <w:basedOn w:val="692"/>
    <w:link w:val="691"/>
    <w:uiPriority w:val="9"/>
    <w:rPr>
      <w:rFonts w:ascii="Arial" w:hAnsi="Arial" w:eastAsia="Arial" w:cs="Arial"/>
      <w:i/>
      <w:iCs/>
      <w:sz w:val="21"/>
      <w:szCs w:val="21"/>
    </w:rPr>
  </w:style>
  <w:style w:type="character" w:styleId="714" w:customStyle="1">
    <w:name w:val="Title Char"/>
    <w:basedOn w:val="692"/>
    <w:uiPriority w:val="10"/>
    <w:rPr>
      <w:sz w:val="48"/>
      <w:szCs w:val="48"/>
    </w:rPr>
  </w:style>
  <w:style w:type="paragraph" w:styleId="715">
    <w:name w:val="Subtitle"/>
    <w:basedOn w:val="682"/>
    <w:next w:val="682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 w:customStyle="1">
    <w:name w:val="Подзаголовок Знак"/>
    <w:basedOn w:val="692"/>
    <w:link w:val="715"/>
    <w:uiPriority w:val="11"/>
    <w:rPr>
      <w:sz w:val="24"/>
      <w:szCs w:val="24"/>
    </w:rPr>
  </w:style>
  <w:style w:type="paragraph" w:styleId="717">
    <w:name w:val="Quote"/>
    <w:basedOn w:val="682"/>
    <w:next w:val="682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82"/>
    <w:next w:val="682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character" w:styleId="721" w:customStyle="1">
    <w:name w:val="Header Char"/>
    <w:basedOn w:val="692"/>
    <w:uiPriority w:val="99"/>
  </w:style>
  <w:style w:type="character" w:styleId="722" w:customStyle="1">
    <w:name w:val="Footer Char"/>
    <w:basedOn w:val="692"/>
    <w:uiPriority w:val="99"/>
  </w:style>
  <w:style w:type="paragraph" w:styleId="723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4" w:customStyle="1">
    <w:name w:val="Caption Char"/>
    <w:uiPriority w:val="99"/>
  </w:style>
  <w:style w:type="table" w:styleId="725" w:customStyle="1">
    <w:name w:val="Table Grid Light"/>
    <w:basedOn w:val="6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6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9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4" w:customStyle="1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5" w:customStyle="1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6" w:customStyle="1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7" w:customStyle="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8" w:customStyle="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9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7" w:customStyle="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9" w:customStyle="1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1" w:customStyle="1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2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1" w:customStyle="1">
    <w:name w:val="Lined - Accent 2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2" w:customStyle="1">
    <w:name w:val="Lined - Accent 3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3" w:customStyle="1">
    <w:name w:val="Lined - Accent 4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4" w:customStyle="1">
    <w:name w:val="Lined - Accent 5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5" w:customStyle="1">
    <w:name w:val="Lined - Accent 6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6" w:customStyle="1">
    <w:name w:val="Bordered &amp; Lined - Accent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8" w:customStyle="1">
    <w:name w:val="Bordered &amp; Lined - Accent 2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9" w:customStyle="1">
    <w:name w:val="Bordered &amp; Lined - Accent 3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0" w:customStyle="1">
    <w:name w:val="Bordered &amp; Lined - Accent 4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1" w:customStyle="1">
    <w:name w:val="Bordered &amp; Lined - Accent 5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2" w:customStyle="1">
    <w:name w:val="Bordered &amp; Lined - Accent 6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3" w:customStyle="1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5" w:customStyle="1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6" w:customStyle="1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7" w:customStyle="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8" w:customStyle="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9" w:customStyle="1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0">
    <w:name w:val="footnote text"/>
    <w:basedOn w:val="682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paragraph" w:styleId="852">
    <w:name w:val="endnote text"/>
    <w:basedOn w:val="682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92"/>
    <w:uiPriority w:val="99"/>
    <w:semiHidden/>
    <w:unhideWhenUsed/>
    <w:rPr>
      <w:vertAlign w:val="superscript"/>
    </w:rPr>
  </w:style>
  <w:style w:type="paragraph" w:styleId="855">
    <w:name w:val="toc 1"/>
    <w:basedOn w:val="682"/>
    <w:next w:val="682"/>
    <w:uiPriority w:val="39"/>
    <w:unhideWhenUsed/>
    <w:pPr>
      <w:spacing w:after="57"/>
    </w:pPr>
  </w:style>
  <w:style w:type="paragraph" w:styleId="856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7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8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9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60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61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62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3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2"/>
    <w:next w:val="682"/>
    <w:uiPriority w:val="99"/>
    <w:unhideWhenUsed/>
    <w:pPr>
      <w:spacing w:after="0"/>
    </w:pPr>
  </w:style>
  <w:style w:type="character" w:styleId="866" w:customStyle="1">
    <w:name w:val="Заголовок 1 Знак"/>
    <w:basedOn w:val="692"/>
    <w:link w:val="683"/>
    <w:rPr>
      <w:rFonts w:ascii="Arial" w:hAnsi="Arial" w:eastAsia="Times New Roman" w:cs="Times New Roman"/>
      <w:b/>
      <w:sz w:val="40"/>
      <w:szCs w:val="20"/>
      <w:lang w:eastAsia="ru-RU"/>
    </w:rPr>
  </w:style>
  <w:style w:type="character" w:styleId="867" w:customStyle="1">
    <w:name w:val="Заголовок 2 Знак"/>
    <w:basedOn w:val="692"/>
    <w:link w:val="684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868" w:customStyle="1">
    <w:name w:val="Заголовок 3 Знак"/>
    <w:basedOn w:val="692"/>
    <w:link w:val="685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869" w:customStyle="1">
    <w:name w:val="Заголовок 4 Знак"/>
    <w:basedOn w:val="692"/>
    <w:link w:val="68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numbering" w:styleId="870" w:customStyle="1">
    <w:name w:val="Нет списка1"/>
    <w:next w:val="694"/>
    <w:semiHidden/>
    <w:unhideWhenUsed/>
  </w:style>
  <w:style w:type="paragraph" w:styleId="871" w:customStyle="1">
    <w:name w:val="Пункт"/>
    <w:basedOn w:val="682"/>
    <w:pPr>
      <w:numPr>
        <w:ilvl w:val="2"/>
        <w:numId w:val="1"/>
      </w:numPr>
      <w:jc w:val="both"/>
      <w:spacing w:after="0" w:line="36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72" w:customStyle="1">
    <w:name w:val="Подпункт"/>
    <w:basedOn w:val="871"/>
    <w:pPr>
      <w:numPr>
        <w:ilvl w:val="3"/>
      </w:numPr>
    </w:pPr>
  </w:style>
  <w:style w:type="character" w:styleId="873" w:customStyle="1">
    <w:name w:val="комментарий"/>
    <w:rPr>
      <w:b/>
      <w:i/>
      <w:shd w:val="clear" w:color="auto" w:fill="ffff99"/>
    </w:rPr>
  </w:style>
  <w:style w:type="paragraph" w:styleId="874">
    <w:name w:val="Body Text"/>
    <w:basedOn w:val="682"/>
    <w:link w:val="875"/>
    <w:pPr>
      <w:spacing w:after="0" w:line="240" w:lineRule="auto"/>
      <w:tabs>
        <w:tab w:val="right" w:pos="9360" w:leader="none"/>
      </w:tabs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75" w:customStyle="1">
    <w:name w:val="Основной текст Знак"/>
    <w:basedOn w:val="692"/>
    <w:link w:val="874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76">
    <w:name w:val="Body Text 2"/>
    <w:basedOn w:val="682"/>
    <w:link w:val="877"/>
    <w:pPr>
      <w:ind w:firstLine="567"/>
      <w:jc w:val="both"/>
      <w:spacing w:after="120" w:line="48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77" w:customStyle="1">
    <w:name w:val="Основной текст 2 Знак"/>
    <w:basedOn w:val="692"/>
    <w:link w:val="87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78">
    <w:name w:val="Title"/>
    <w:basedOn w:val="682"/>
    <w:link w:val="87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character" w:styleId="879" w:customStyle="1">
    <w:name w:val="Заголовок Знак"/>
    <w:basedOn w:val="692"/>
    <w:link w:val="878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styleId="880">
    <w:name w:val="Header"/>
    <w:basedOn w:val="682"/>
    <w:link w:val="881"/>
    <w:pPr>
      <w:ind w:firstLine="567"/>
      <w:jc w:val="both"/>
      <w:spacing w:after="0" w:line="36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1" w:customStyle="1">
    <w:name w:val="Верхний колонтитул Знак"/>
    <w:basedOn w:val="692"/>
    <w:link w:val="88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2">
    <w:name w:val="page number"/>
    <w:basedOn w:val="692"/>
  </w:style>
  <w:style w:type="paragraph" w:styleId="883">
    <w:name w:val="Footer"/>
    <w:basedOn w:val="682"/>
    <w:link w:val="884"/>
    <w:uiPriority w:val="99"/>
    <w:pPr>
      <w:ind w:firstLine="567"/>
      <w:jc w:val="both"/>
      <w:spacing w:after="0" w:line="36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84" w:customStyle="1">
    <w:name w:val="Нижний колонтитул Знак"/>
    <w:basedOn w:val="692"/>
    <w:link w:val="88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5" w:customStyle="1">
    <w:name w:val="Знак"/>
    <w:basedOn w:val="682"/>
    <w:pPr>
      <w:spacing w:line="240" w:lineRule="exact"/>
      <w:tabs>
        <w:tab w:val="num" w:pos="360" w:leader="none"/>
      </w:tabs>
    </w:pPr>
    <w:rPr>
      <w:rFonts w:ascii="Verdana" w:hAnsi="Verdana" w:eastAsia="Times New Roman" w:cs="Verdana"/>
      <w:sz w:val="20"/>
      <w:szCs w:val="20"/>
      <w:lang w:val="en-US"/>
    </w:rPr>
  </w:style>
  <w:style w:type="paragraph" w:styleId="886">
    <w:name w:val="Body Text 3"/>
    <w:basedOn w:val="682"/>
    <w:link w:val="887"/>
    <w:pPr>
      <w:ind w:firstLine="567"/>
      <w:jc w:val="both"/>
      <w:spacing w:after="120" w:line="36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887" w:customStyle="1">
    <w:name w:val="Основной текст 3 Знак"/>
    <w:basedOn w:val="692"/>
    <w:link w:val="886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88" w:customStyle="1">
    <w:name w:val="Подподпункт"/>
    <w:basedOn w:val="872"/>
    <w:pPr>
      <w:numPr>
        <w:ilvl w:val="0"/>
        <w:numId w:val="0"/>
      </w:numPr>
      <w:ind w:left="1701" w:hanging="567"/>
      <w:tabs>
        <w:tab w:val="num" w:pos="360" w:leader="none"/>
      </w:tabs>
    </w:pPr>
  </w:style>
  <w:style w:type="table" w:styleId="889">
    <w:name w:val="Table Grid"/>
    <w:basedOn w:val="69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0" w:customStyle="1">
    <w:name w:val="Знак Знак Знак1"/>
    <w:basedOn w:val="682"/>
    <w:pPr>
      <w:spacing w:line="240" w:lineRule="exact"/>
      <w:tabs>
        <w:tab w:val="num" w:pos="360" w:leader="none"/>
      </w:tabs>
    </w:pPr>
    <w:rPr>
      <w:rFonts w:ascii="Verdana" w:hAnsi="Verdana" w:eastAsia="Times New Roman" w:cs="Verdana"/>
      <w:sz w:val="20"/>
      <w:szCs w:val="20"/>
      <w:lang w:val="en-US"/>
    </w:rPr>
  </w:style>
  <w:style w:type="paragraph" w:styleId="891" w:customStyle="1">
    <w:name w:val="Знак Знак Знак Знак"/>
    <w:basedOn w:val="682"/>
    <w:pPr>
      <w:spacing w:line="240" w:lineRule="exact"/>
      <w:tabs>
        <w:tab w:val="num" w:pos="360" w:leader="none"/>
      </w:tabs>
    </w:pPr>
    <w:rPr>
      <w:rFonts w:ascii="Verdana" w:hAnsi="Verdana" w:eastAsia="Times New Roman" w:cs="Verdana"/>
      <w:sz w:val="20"/>
      <w:szCs w:val="20"/>
      <w:lang w:val="en-US"/>
    </w:rPr>
  </w:style>
  <w:style w:type="paragraph" w:styleId="892" w:customStyle="1">
    <w:name w:val="Знак1"/>
    <w:basedOn w:val="682"/>
    <w:pPr>
      <w:spacing w:line="240" w:lineRule="exact"/>
      <w:tabs>
        <w:tab w:val="num" w:pos="360" w:leader="none"/>
      </w:tabs>
    </w:pPr>
    <w:rPr>
      <w:rFonts w:ascii="Verdana" w:hAnsi="Verdana" w:eastAsia="Times New Roman" w:cs="Verdana"/>
      <w:sz w:val="20"/>
      <w:szCs w:val="20"/>
      <w:lang w:val="en-US"/>
    </w:rPr>
  </w:style>
  <w:style w:type="paragraph" w:styleId="893">
    <w:name w:val="Body Text Indent"/>
    <w:basedOn w:val="682"/>
    <w:link w:val="894"/>
    <w:pPr>
      <w:ind w:left="283"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4" w:customStyle="1">
    <w:name w:val="Основной текст с отступом Знак"/>
    <w:basedOn w:val="692"/>
    <w:link w:val="89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5" w:customStyle="1">
    <w:name w:val="Знак Знак Знак1"/>
    <w:basedOn w:val="682"/>
    <w:pPr>
      <w:spacing w:line="240" w:lineRule="exact"/>
      <w:tabs>
        <w:tab w:val="num" w:pos="360" w:leader="none"/>
      </w:tabs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6">
    <w:name w:val="footnote reference"/>
    <w:semiHidden/>
    <w:rPr>
      <w:rFonts w:cs="Times New Roman"/>
      <w:vertAlign w:val="superscript"/>
    </w:rPr>
  </w:style>
  <w:style w:type="character" w:styleId="897">
    <w:name w:val="Hyperlink"/>
    <w:rPr>
      <w:color w:val="0000ff"/>
      <w:u w:val="single"/>
    </w:rPr>
  </w:style>
  <w:style w:type="paragraph" w:styleId="898" w:customStyle="1">
    <w:name w:val="Стиль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 w:customStyle="1">
    <w:name w:val="Знак Знак Знак Знак Знак Знак Знак Знак Знак Знак Знак Знак Знак Знак Знак"/>
    <w:basedOn w:val="682"/>
    <w:pPr>
      <w:spacing w:line="240" w:lineRule="exact"/>
      <w:tabs>
        <w:tab w:val="num" w:pos="360" w:leader="none"/>
      </w:tabs>
    </w:pPr>
    <w:rPr>
      <w:rFonts w:ascii="Verdana" w:hAnsi="Verdana" w:eastAsia="Times New Roman" w:cs="Verdana"/>
      <w:sz w:val="20"/>
      <w:szCs w:val="20"/>
      <w:lang w:val="en-US"/>
    </w:rPr>
  </w:style>
  <w:style w:type="paragraph" w:styleId="900" w:customStyle="1">
    <w:name w:val="ConsPlusNormal"/>
    <w:pPr>
      <w:ind w:firstLine="720"/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 Unicode MS" w:hAnsi="Arial Unicode MS" w:eastAsia="Arial Unicode MS" w:cs="Arial Unicode MS"/>
      <w:color w:val="000000"/>
      <w:sz w:val="20"/>
      <w:szCs w:val="20"/>
      <w:lang w:eastAsia="ru-RU"/>
    </w:rPr>
  </w:style>
  <w:style w:type="character" w:styleId="901" w:customStyle="1">
    <w:name w:val="Основной текст (2)_"/>
    <w:link w:val="902"/>
    <w:rPr>
      <w:shd w:val="clear" w:color="auto" w:fill="ffffff"/>
    </w:rPr>
  </w:style>
  <w:style w:type="paragraph" w:styleId="902" w:customStyle="1">
    <w:name w:val="Основной текст (2)"/>
    <w:basedOn w:val="682"/>
    <w:link w:val="901"/>
    <w:pPr>
      <w:jc w:val="both"/>
      <w:spacing w:before="300" w:after="300" w:line="0" w:lineRule="atLeast"/>
      <w:shd w:val="clear" w:color="auto" w:fill="ffffff"/>
      <w:widowControl w:val="off"/>
    </w:pPr>
  </w:style>
  <w:style w:type="character" w:styleId="903" w:customStyle="1">
    <w:name w:val="Колонтитул_"/>
    <w:link w:val="905"/>
    <w:rPr>
      <w:shd w:val="clear" w:color="auto" w:fill="ffffff"/>
    </w:rPr>
  </w:style>
  <w:style w:type="character" w:styleId="904" w:customStyle="1">
    <w:name w:val="Подпись к таблице_"/>
    <w:link w:val="906"/>
    <w:rPr>
      <w:shd w:val="clear" w:color="auto" w:fill="ffffff"/>
    </w:rPr>
  </w:style>
  <w:style w:type="paragraph" w:styleId="905" w:customStyle="1">
    <w:name w:val="Колонтитул"/>
    <w:basedOn w:val="682"/>
    <w:link w:val="903"/>
    <w:pPr>
      <w:jc w:val="both"/>
      <w:spacing w:after="0" w:line="0" w:lineRule="atLeast"/>
      <w:shd w:val="clear" w:color="auto" w:fill="ffffff"/>
      <w:widowControl w:val="off"/>
    </w:pPr>
  </w:style>
  <w:style w:type="paragraph" w:styleId="906" w:customStyle="1">
    <w:name w:val="Подпись к таблице"/>
    <w:basedOn w:val="682"/>
    <w:link w:val="904"/>
    <w:pPr>
      <w:jc w:val="center"/>
      <w:spacing w:after="60" w:line="0" w:lineRule="atLeast"/>
      <w:shd w:val="clear" w:color="auto" w:fill="ffffff"/>
      <w:widowControl w:val="off"/>
    </w:pPr>
  </w:style>
  <w:style w:type="character" w:styleId="907" w:customStyle="1">
    <w:name w:val="Заголовок №1_"/>
    <w:link w:val="908"/>
    <w:rPr>
      <w:shd w:val="clear" w:color="auto" w:fill="ffffff"/>
    </w:rPr>
  </w:style>
  <w:style w:type="paragraph" w:styleId="908" w:customStyle="1">
    <w:name w:val="Заголовок №1"/>
    <w:basedOn w:val="682"/>
    <w:link w:val="907"/>
    <w:pPr>
      <w:jc w:val="both"/>
      <w:spacing w:before="240" w:after="0" w:line="250" w:lineRule="exact"/>
      <w:shd w:val="clear" w:color="auto" w:fill="ffffff"/>
      <w:widowControl w:val="off"/>
      <w:outlineLvl w:val="0"/>
    </w:pPr>
  </w:style>
  <w:style w:type="paragraph" w:styleId="909">
    <w:name w:val="List Paragraph"/>
    <w:basedOn w:val="682"/>
    <w:uiPriority w:val="99"/>
    <w:qFormat/>
    <w:pPr>
      <w:contextualSpacing/>
      <w:ind w:firstLine="482"/>
      <w:spacing w:before="120" w:after="120" w:line="276" w:lineRule="auto"/>
    </w:pPr>
    <w:rPr>
      <w:rFonts w:ascii="Times New Roman" w:hAnsi="Times New Roman" w:eastAsia="Times New Roman" w:cs="Times New Roman"/>
      <w:lang w:eastAsia="ru-RU"/>
    </w:rPr>
  </w:style>
  <w:style w:type="character" w:styleId="910" w:customStyle="1">
    <w:name w:val="Основной текст (2) + Полужирный"/>
    <w:rPr>
      <w:rFonts w:ascii="Times New Roman" w:hAnsi="Times New Roman" w:eastAsia="Times New Roman" w:cs="Times New Roman"/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paragraph" w:styleId="911" w:customStyle="1">
    <w:name w:val="Стиль статьи договора + курсив"/>
    <w:basedOn w:val="682"/>
    <w:pPr>
      <w:numPr>
        <w:ilvl w:val="1"/>
        <w:numId w:val="2"/>
      </w:numPr>
      <w:ind w:left="0" w:firstLine="720"/>
      <w:jc w:val="both"/>
      <w:spacing w:after="60" w:line="240" w:lineRule="auto"/>
      <w:widowControl w:val="off"/>
      <w:tabs>
        <w:tab w:val="num" w:pos="360" w:leader="none"/>
      </w:tabs>
      <w:outlineLvl w:val="1"/>
    </w:pPr>
    <w:rPr>
      <w:rFonts w:ascii="Calibri" w:hAnsi="Calibri" w:eastAsia="Calibri" w:cs="Times New Roman"/>
      <w:b/>
      <w:bCs/>
      <w:iCs/>
      <w:sz w:val="20"/>
      <w:szCs w:val="20"/>
      <w:lang w:eastAsia="ru-RU"/>
    </w:rPr>
  </w:style>
  <w:style w:type="character" w:styleId="912" w:customStyle="1">
    <w:name w:val="статьи договора Знак"/>
    <w:rPr>
      <w:b/>
      <w:bCs/>
      <w:sz w:val="22"/>
      <w:szCs w:val="22"/>
      <w:lang w:val="ru-RU" w:eastAsia="ru-RU" w:bidi="ar-SA"/>
    </w:rPr>
  </w:style>
  <w:style w:type="character" w:styleId="913" w:customStyle="1">
    <w:name w:val="статьи договора Знак1"/>
    <w:link w:val="914"/>
    <w:rPr>
      <w:b/>
      <w:bCs/>
    </w:rPr>
  </w:style>
  <w:style w:type="paragraph" w:styleId="914" w:customStyle="1">
    <w:name w:val="статьи договора"/>
    <w:basedOn w:val="682"/>
    <w:link w:val="913"/>
    <w:pPr>
      <w:ind w:firstLine="720"/>
      <w:jc w:val="both"/>
      <w:spacing w:after="60" w:line="240" w:lineRule="auto"/>
      <w:widowControl w:val="off"/>
      <w:tabs>
        <w:tab w:val="num" w:pos="360" w:leader="none"/>
        <w:tab w:val="num" w:pos="2007" w:leader="none"/>
      </w:tabs>
      <w:outlineLvl w:val="1"/>
    </w:pPr>
    <w:rPr>
      <w:b/>
      <w:bCs/>
    </w:rPr>
  </w:style>
  <w:style w:type="character" w:styleId="915" w:customStyle="1">
    <w:name w:val="подпункты договора Знак"/>
    <w:link w:val="916"/>
  </w:style>
  <w:style w:type="paragraph" w:styleId="916" w:customStyle="1">
    <w:name w:val="подпункты договора"/>
    <w:basedOn w:val="914"/>
    <w:link w:val="915"/>
    <w:pPr>
      <w:numPr>
        <w:ilvl w:val="2"/>
      </w:numPr>
      <w:ind w:firstLine="720"/>
      <w:tabs>
        <w:tab w:val="num" w:pos="360" w:leader="none"/>
      </w:tabs>
    </w:pPr>
    <w:rPr>
      <w:b w:val="0"/>
      <w:bCs w:val="0"/>
    </w:rPr>
  </w:style>
  <w:style w:type="paragraph" w:styleId="917" w:customStyle="1">
    <w:name w:val="ConsPlusDocList"/>
    <w:next w:val="682"/>
    <w:pPr>
      <w:spacing w:after="0" w:line="240" w:lineRule="auto"/>
      <w:widowControl w:val="off"/>
    </w:pPr>
    <w:rPr>
      <w:rFonts w:ascii="Arial" w:hAnsi="Arial" w:eastAsia="Arial" w:cs="Arial"/>
      <w:sz w:val="20"/>
      <w:szCs w:val="20"/>
      <w:lang w:eastAsia="hi-IN" w:bidi="hi-IN"/>
    </w:rPr>
  </w:style>
  <w:style w:type="paragraph" w:styleId="918">
    <w:name w:val="Balloon Text"/>
    <w:basedOn w:val="682"/>
    <w:link w:val="919"/>
    <w:pPr>
      <w:ind w:firstLine="567"/>
      <w:jc w:val="both"/>
      <w:spacing w:after="0" w:line="240" w:lineRule="auto"/>
    </w:pPr>
    <w:rPr>
      <w:rFonts w:ascii="Segoe UI" w:hAnsi="Segoe UI" w:eastAsia="Times New Roman" w:cs="Segoe UI"/>
      <w:sz w:val="18"/>
      <w:szCs w:val="18"/>
      <w:lang w:eastAsia="ru-RU"/>
    </w:rPr>
  </w:style>
  <w:style w:type="character" w:styleId="919" w:customStyle="1">
    <w:name w:val="Текст выноски Знак"/>
    <w:basedOn w:val="692"/>
    <w:link w:val="918"/>
    <w:rPr>
      <w:rFonts w:ascii="Segoe UI" w:hAnsi="Segoe UI" w:eastAsia="Times New Roman" w:cs="Segoe UI"/>
      <w:sz w:val="18"/>
      <w:szCs w:val="18"/>
      <w:lang w:eastAsia="ru-RU"/>
    </w:rPr>
  </w:style>
  <w:style w:type="paragraph" w:styleId="920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921" w:customStyle="1">
    <w:name w:val="Table Paragraph"/>
    <w:basedOn w:val="682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val="en-US"/>
    </w:rPr>
  </w:style>
  <w:style w:type="table" w:styleId="922" w:customStyle="1">
    <w:name w:val="Table Normal"/>
    <w:uiPriority w:val="2"/>
    <w:semiHidden/>
    <w:qFormat/>
    <w:pPr>
      <w:spacing w:after="0" w:line="240" w:lineRule="auto"/>
      <w:widowControl w:val="off"/>
    </w:pPr>
    <w:rPr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Бондарева Елена Федоровна</cp:lastModifiedBy>
  <cp:revision>6</cp:revision>
  <dcterms:created xsi:type="dcterms:W3CDTF">2024-04-17T08:40:00Z</dcterms:created>
  <dcterms:modified xsi:type="dcterms:W3CDTF">2024-04-18T09:10:51Z</dcterms:modified>
</cp:coreProperties>
</file>